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2ACAB616" w:rsidR="003C56A0" w:rsidRDefault="003C56A0" w:rsidP="003C56A0">
      <w:pPr>
        <w:jc w:val="center"/>
      </w:pPr>
      <w:r w:rsidRPr="003C56A0">
        <w:t xml:space="preserve">За </w:t>
      </w:r>
      <w:r w:rsidR="00157DB1">
        <w:t>2</w:t>
      </w:r>
      <w:r w:rsidR="00E912FD">
        <w:t>8</w:t>
      </w:r>
      <w:r w:rsidR="00157DB1">
        <w:t xml:space="preserve"> января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5C82E86D" w:rsidR="008103D7" w:rsidRDefault="00E912FD" w:rsidP="008103D7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14266A0E" w14:textId="2C9914A4" w:rsidR="008103D7" w:rsidRDefault="00E912FD" w:rsidP="008103D7">
            <w:pPr>
              <w:jc w:val="center"/>
            </w:pPr>
            <w:r>
              <w:t>1</w:t>
            </w:r>
          </w:p>
        </w:tc>
        <w:tc>
          <w:tcPr>
            <w:tcW w:w="268" w:type="dxa"/>
          </w:tcPr>
          <w:p w14:paraId="20BF4CFE" w14:textId="2BC3B97E" w:rsidR="008103D7" w:rsidRDefault="00E912FD" w:rsidP="008103D7">
            <w:pPr>
              <w:jc w:val="center"/>
            </w:pPr>
            <w:r>
              <w:t>12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bookmarkStart w:id="0" w:name="_GoBack"/>
            <w:r>
              <w:t>1</w:t>
            </w:r>
            <w:bookmarkEnd w:id="0"/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95691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2020-01-28T05:05:00Z</dcterms:created>
  <dcterms:modified xsi:type="dcterms:W3CDTF">2020-01-28T05:05:00Z</dcterms:modified>
</cp:coreProperties>
</file>